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9D" w:rsidRPr="008B74C8" w:rsidRDefault="00FE419D" w:rsidP="00FE419D">
      <w:pPr>
        <w:bidi/>
        <w:jc w:val="center"/>
        <w:rPr>
          <w:rFonts w:ascii="Arial" w:hAnsi="Arial" w:cs="Arial"/>
          <w:b/>
          <w:bCs/>
          <w:sz w:val="22"/>
          <w:szCs w:val="22"/>
          <w:rtl/>
        </w:rPr>
      </w:pPr>
      <w:r w:rsidRPr="008B74C8">
        <w:rPr>
          <w:rFonts w:ascii="Arial" w:hAnsi="Arial" w:cs="Arial"/>
          <w:b/>
          <w:bCs/>
          <w:sz w:val="22"/>
          <w:szCs w:val="22"/>
          <w:rtl/>
        </w:rPr>
        <w:t>התנתקות מוסרית בקרב צופים בבריונות בית ספרית</w:t>
      </w:r>
    </w:p>
    <w:p w:rsidR="00FE419D" w:rsidRPr="008B74C8" w:rsidRDefault="00FE419D" w:rsidP="00FE419D">
      <w:pPr>
        <w:rPr>
          <w:rFonts w:ascii="Arial" w:hAnsi="Arial" w:cs="Arial"/>
          <w:sz w:val="22"/>
          <w:szCs w:val="22"/>
          <w:rtl/>
        </w:rPr>
      </w:pPr>
    </w:p>
    <w:p w:rsidR="00FE419D" w:rsidRPr="008B74C8" w:rsidRDefault="00FE419D" w:rsidP="00FE419D">
      <w:pPr>
        <w:bidi/>
        <w:rPr>
          <w:rFonts w:ascii="Arial" w:hAnsi="Arial" w:cs="Arial"/>
          <w:sz w:val="22"/>
          <w:szCs w:val="22"/>
          <w:rtl/>
        </w:rPr>
      </w:pPr>
      <w:r w:rsidRPr="008B74C8">
        <w:rPr>
          <w:rFonts w:ascii="Arial" w:hAnsi="Arial" w:cs="Arial"/>
          <w:sz w:val="22"/>
          <w:szCs w:val="22"/>
          <w:rtl/>
        </w:rPr>
        <w:t>התקציר נעשה על סמך:</w:t>
      </w:r>
    </w:p>
    <w:p w:rsidR="00FE419D" w:rsidRPr="008B74C8" w:rsidRDefault="00FE419D" w:rsidP="00FE419D">
      <w:pPr>
        <w:rPr>
          <w:rFonts w:ascii="Arial" w:hAnsi="Arial" w:cs="Arial"/>
          <w:sz w:val="22"/>
          <w:szCs w:val="22"/>
        </w:rPr>
      </w:pPr>
      <w:r w:rsidRPr="008B74C8">
        <w:rPr>
          <w:rFonts w:ascii="Arial" w:hAnsi="Arial" w:cs="Arial"/>
          <w:sz w:val="22"/>
          <w:szCs w:val="22"/>
        </w:rPr>
        <w:t>Marie-</w:t>
      </w:r>
      <w:proofErr w:type="spellStart"/>
      <w:r w:rsidRPr="008B74C8">
        <w:rPr>
          <w:rFonts w:ascii="Arial" w:hAnsi="Arial" w:cs="Arial"/>
          <w:sz w:val="22"/>
          <w:szCs w:val="22"/>
        </w:rPr>
        <w:t>Luise</w:t>
      </w:r>
      <w:proofErr w:type="spellEnd"/>
      <w:r w:rsidRPr="008B74C8">
        <w:rPr>
          <w:rFonts w:ascii="Arial" w:hAnsi="Arial" w:cs="Arial"/>
          <w:sz w:val="22"/>
          <w:szCs w:val="22"/>
        </w:rPr>
        <w:t xml:space="preserve"> </w:t>
      </w:r>
      <w:proofErr w:type="spellStart"/>
      <w:r w:rsidRPr="008B74C8">
        <w:rPr>
          <w:rFonts w:ascii="Arial" w:hAnsi="Arial" w:cs="Arial"/>
          <w:sz w:val="22"/>
          <w:szCs w:val="22"/>
        </w:rPr>
        <w:t>Obermann</w:t>
      </w:r>
      <w:proofErr w:type="spellEnd"/>
      <w:r w:rsidRPr="008B74C8">
        <w:rPr>
          <w:rFonts w:ascii="Arial" w:hAnsi="Arial" w:cs="Arial"/>
          <w:sz w:val="22"/>
          <w:szCs w:val="22"/>
        </w:rPr>
        <w:t xml:space="preserve">, "Moral Disengagement </w:t>
      </w:r>
      <w:proofErr w:type="gramStart"/>
      <w:r w:rsidRPr="008B74C8">
        <w:rPr>
          <w:rFonts w:ascii="Arial" w:hAnsi="Arial" w:cs="Arial"/>
          <w:sz w:val="22"/>
          <w:szCs w:val="22"/>
        </w:rPr>
        <w:t>Among</w:t>
      </w:r>
      <w:proofErr w:type="gramEnd"/>
      <w:r w:rsidRPr="008B74C8">
        <w:rPr>
          <w:rFonts w:ascii="Arial" w:hAnsi="Arial" w:cs="Arial"/>
          <w:sz w:val="22"/>
          <w:szCs w:val="22"/>
        </w:rPr>
        <w:t xml:space="preserve"> Bystanders to School Bullying". </w:t>
      </w:r>
      <w:r w:rsidRPr="008B74C8">
        <w:rPr>
          <w:rFonts w:ascii="Arial" w:hAnsi="Arial" w:cs="Arial"/>
          <w:i/>
          <w:iCs/>
          <w:sz w:val="22"/>
          <w:szCs w:val="22"/>
        </w:rPr>
        <w:t>Journal of School Violence</w:t>
      </w:r>
      <w:r w:rsidRPr="008B74C8">
        <w:rPr>
          <w:rFonts w:ascii="Arial" w:hAnsi="Arial" w:cs="Arial"/>
          <w:sz w:val="22"/>
          <w:szCs w:val="22"/>
        </w:rPr>
        <w:t xml:space="preserve"> 2011, vol. 10, No. 3, pp. 239 – 257/</w:t>
      </w:r>
    </w:p>
    <w:p w:rsidR="00FE419D" w:rsidRPr="008B74C8" w:rsidRDefault="00FE419D" w:rsidP="00FE419D">
      <w:pPr>
        <w:bidi/>
        <w:rPr>
          <w:rFonts w:ascii="Arial" w:hAnsi="Arial" w:cs="Arial"/>
          <w:sz w:val="22"/>
          <w:szCs w:val="22"/>
          <w:rtl/>
        </w:rPr>
      </w:pPr>
    </w:p>
    <w:p w:rsidR="00FE419D" w:rsidRPr="008B74C8" w:rsidRDefault="00FE419D" w:rsidP="00FE419D">
      <w:pPr>
        <w:bidi/>
        <w:rPr>
          <w:rFonts w:ascii="Arial" w:hAnsi="Arial" w:cs="Arial"/>
          <w:b/>
          <w:bCs/>
          <w:sz w:val="22"/>
          <w:szCs w:val="22"/>
          <w:rtl/>
        </w:rPr>
      </w:pPr>
      <w:r w:rsidRPr="008B74C8">
        <w:rPr>
          <w:rFonts w:ascii="Arial" w:hAnsi="Arial" w:cs="Arial"/>
          <w:b/>
          <w:bCs/>
          <w:sz w:val="22"/>
          <w:szCs w:val="22"/>
          <w:rtl/>
        </w:rPr>
        <w:t>רקע תיאורטי</w:t>
      </w:r>
    </w:p>
    <w:p w:rsidR="00FE419D" w:rsidRPr="008B74C8" w:rsidRDefault="00FE419D" w:rsidP="00FE419D">
      <w:pPr>
        <w:bidi/>
        <w:rPr>
          <w:rFonts w:ascii="Arial" w:hAnsi="Arial" w:cs="Arial"/>
          <w:sz w:val="22"/>
          <w:szCs w:val="22"/>
          <w:rtl/>
        </w:rPr>
      </w:pPr>
    </w:p>
    <w:p w:rsidR="00FE419D" w:rsidRPr="008B74C8" w:rsidRDefault="00FE419D" w:rsidP="00FE419D">
      <w:pPr>
        <w:bidi/>
        <w:rPr>
          <w:rFonts w:ascii="Arial" w:hAnsi="Arial" w:cs="Arial"/>
          <w:sz w:val="22"/>
          <w:szCs w:val="22"/>
          <w:rtl/>
        </w:rPr>
      </w:pPr>
      <w:r w:rsidRPr="008B74C8">
        <w:rPr>
          <w:rFonts w:ascii="Arial" w:hAnsi="Arial" w:cs="Arial"/>
          <w:sz w:val="22"/>
          <w:szCs w:val="22"/>
          <w:rtl/>
        </w:rPr>
        <w:t xml:space="preserve">בריונות אינה התהליך המבודד שמתרחש בין התוקף לקורבן,  אלא אינטראקציה המתרחשת בהקשר חברתי רחב. באינטראקציה הזאת מעורבים גם צופים; למעשה הצופים מהווים כ-85% מהילדים המעורבים בצורה זו או אחרת בתקריות הבריונות. למרות העובדה שילדים רבים מביעים עמדות כלליות כנגד הבריונות ומדווחים על אמפתיה כלפי הקורבנות במצבים היפותטיים, התנהגות מגנה </w:t>
      </w:r>
      <w:proofErr w:type="spellStart"/>
      <w:r w:rsidRPr="008B74C8">
        <w:rPr>
          <w:rFonts w:ascii="Arial" w:hAnsi="Arial" w:cs="Arial"/>
          <w:sz w:val="22"/>
          <w:szCs w:val="22"/>
          <w:rtl/>
        </w:rPr>
        <w:t>אמיתית</w:t>
      </w:r>
      <w:proofErr w:type="spellEnd"/>
      <w:r w:rsidRPr="008B74C8">
        <w:rPr>
          <w:rFonts w:ascii="Arial" w:hAnsi="Arial" w:cs="Arial"/>
          <w:sz w:val="22"/>
          <w:szCs w:val="22"/>
          <w:rtl/>
        </w:rPr>
        <w:t xml:space="preserve"> מתרחשת אך ורק במקרים בודדים. בשנים האחרונות הגיעו חוקרים  למסקנה כי הצופים מהווים פוטנציאל חשוב למניעת הבריונות וכי יש לבנות </w:t>
      </w:r>
      <w:proofErr w:type="spellStart"/>
      <w:r w:rsidRPr="008B74C8">
        <w:rPr>
          <w:rFonts w:ascii="Arial" w:hAnsi="Arial" w:cs="Arial"/>
          <w:sz w:val="22"/>
          <w:szCs w:val="22"/>
          <w:rtl/>
        </w:rPr>
        <w:t>תוכניות</w:t>
      </w:r>
      <w:proofErr w:type="spellEnd"/>
      <w:r w:rsidRPr="008B74C8">
        <w:rPr>
          <w:rFonts w:ascii="Arial" w:hAnsi="Arial" w:cs="Arial"/>
          <w:sz w:val="22"/>
          <w:szCs w:val="22"/>
          <w:rtl/>
        </w:rPr>
        <w:t xml:space="preserve"> התערבות הממוקדות בצופים. לשם כך, יש ראשית להבין  מה גורם לצופה להחליט להישאר פסיבי ולא להתערב לצד הקורבן.</w:t>
      </w:r>
    </w:p>
    <w:p w:rsidR="00FE419D" w:rsidRPr="008B74C8" w:rsidRDefault="00FE419D" w:rsidP="00FE419D">
      <w:pPr>
        <w:bidi/>
        <w:rPr>
          <w:rFonts w:ascii="Arial" w:hAnsi="Arial" w:cs="Arial"/>
          <w:sz w:val="22"/>
          <w:szCs w:val="22"/>
          <w:rtl/>
        </w:rPr>
      </w:pPr>
    </w:p>
    <w:p w:rsidR="00FE419D" w:rsidRPr="008B74C8" w:rsidRDefault="00FE419D" w:rsidP="00FE419D">
      <w:pPr>
        <w:bidi/>
        <w:rPr>
          <w:rFonts w:ascii="Arial" w:hAnsi="Arial" w:cs="Arial"/>
          <w:sz w:val="22"/>
          <w:szCs w:val="22"/>
          <w:rtl/>
        </w:rPr>
      </w:pPr>
      <w:r w:rsidRPr="008B74C8">
        <w:rPr>
          <w:rFonts w:ascii="Arial" w:hAnsi="Arial" w:cs="Arial"/>
          <w:sz w:val="22"/>
          <w:szCs w:val="22"/>
          <w:rtl/>
        </w:rPr>
        <w:t>ניתן להצביע על מספר הסברים עיקריים לכך שהתערבות מצד הצופים מתרחשת רק במקרים בודדים:</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b/>
          <w:bCs/>
          <w:sz w:val="22"/>
          <w:szCs w:val="22"/>
          <w:rtl/>
        </w:rPr>
        <w:t>תופעה כללית של אפקט צופה מהצד</w:t>
      </w:r>
      <w:r w:rsidRPr="008B74C8">
        <w:rPr>
          <w:rFonts w:ascii="Arial" w:hAnsi="Arial" w:cs="Arial"/>
          <w:sz w:val="22"/>
          <w:szCs w:val="22"/>
          <w:rtl/>
        </w:rPr>
        <w:t>, תופעה בה היחיד תופש את נטל האחריות כמוּסר ממנו, ככל שקבוצת האנשים בה הוא נמצא גדולה יותר</w:t>
      </w:r>
      <w:r w:rsidRPr="008B74C8">
        <w:rPr>
          <w:rFonts w:ascii="Arial" w:hAnsi="Arial" w:cs="Arial"/>
          <w:sz w:val="22"/>
          <w:szCs w:val="22"/>
        </w:rPr>
        <w:t>.</w:t>
      </w:r>
      <w:r w:rsidRPr="008B74C8">
        <w:rPr>
          <w:rFonts w:ascii="Arial" w:hAnsi="Arial" w:cs="Arial"/>
          <w:sz w:val="22"/>
          <w:szCs w:val="22"/>
          <w:rtl/>
        </w:rPr>
        <w:t xml:space="preserve"> תלמידים שהיו עדים למעשה הבריונות מצפים מאחרים להתערב או מפרשים את שתיקת חבריהם לכך שההתנהגות הנצפית היא סבירה ושאין צורך להתערב.</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b/>
          <w:bCs/>
          <w:sz w:val="22"/>
          <w:szCs w:val="22"/>
          <w:rtl/>
        </w:rPr>
        <w:t>תפישת תוקפים כפופולאריים ובעלי כוח</w:t>
      </w:r>
      <w:r w:rsidRPr="008B74C8">
        <w:rPr>
          <w:rFonts w:ascii="Arial" w:hAnsi="Arial" w:cs="Arial"/>
          <w:sz w:val="22"/>
          <w:szCs w:val="22"/>
          <w:rtl/>
        </w:rPr>
        <w:t>; ולכן דרוש  אומץ רב על מנת להתערב כנגדם</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b/>
          <w:bCs/>
          <w:sz w:val="22"/>
          <w:szCs w:val="22"/>
          <w:rtl/>
        </w:rPr>
        <w:t>התייחסות שלילית לקורבנות או היעדר אמפתיה כלפיהם</w:t>
      </w:r>
      <w:r w:rsidRPr="008B74C8">
        <w:rPr>
          <w:rFonts w:ascii="Arial" w:hAnsi="Arial" w:cs="Arial"/>
          <w:sz w:val="22"/>
          <w:szCs w:val="22"/>
          <w:rtl/>
        </w:rPr>
        <w:t xml:space="preserve">. מחקרים מצביעים על רמה גבוהה של אפתיה. כך, במחקר שנעשה בקרב תלמידי כיתות ז-ח, כ-50% אמרו שלא התערבו במעשי הבריונות משום שלא חשבו שהדבר נוגע להם בצורה כלשהי. גם יחס חיובי כלפי קורבנות היפותטיים אינו מתורגם למעשה התערבות לנוכח מעשה בריונות </w:t>
      </w:r>
      <w:proofErr w:type="spellStart"/>
      <w:r w:rsidRPr="008B74C8">
        <w:rPr>
          <w:rFonts w:ascii="Arial" w:hAnsi="Arial" w:cs="Arial"/>
          <w:sz w:val="22"/>
          <w:szCs w:val="22"/>
          <w:rtl/>
        </w:rPr>
        <w:t>אמיתית</w:t>
      </w:r>
      <w:proofErr w:type="spellEnd"/>
      <w:r w:rsidRPr="008B74C8">
        <w:rPr>
          <w:rFonts w:ascii="Arial" w:hAnsi="Arial" w:cs="Arial"/>
          <w:sz w:val="22"/>
          <w:szCs w:val="22"/>
          <w:rtl/>
        </w:rPr>
        <w:t>: כאן הכעס מועבר מתוקף אל קורבן. המחקרים שנעשו עם עדים למעשי אלימות המונית, כולל רצח עם, מראים  כי לצופה מהצד קשה להיות באופוזיציה פנימית כלפי התוקף ולחוש אמפתיה לקורבן; מכאן בא הדחף להתרחק אמוציונאלית מהקורבן. בדומה לכך מרבית הילדים מפתחים תחושות שליליות כלפי קורבנות האלימות וככל שמעשי האלימות נמשכים, כך גובר היחס השלילי..</w:t>
      </w:r>
    </w:p>
    <w:p w:rsidR="00FE419D" w:rsidRPr="008B74C8" w:rsidRDefault="00FE419D" w:rsidP="00FE419D">
      <w:pPr>
        <w:bidi/>
        <w:rPr>
          <w:rFonts w:ascii="Arial" w:hAnsi="Arial" w:cs="Arial"/>
          <w:sz w:val="22"/>
          <w:szCs w:val="22"/>
        </w:rPr>
      </w:pPr>
    </w:p>
    <w:p w:rsidR="00FE419D" w:rsidRPr="008B74C8" w:rsidRDefault="00FE419D" w:rsidP="00FE419D">
      <w:pPr>
        <w:bidi/>
        <w:rPr>
          <w:rFonts w:ascii="Arial" w:hAnsi="Arial" w:cs="Arial"/>
          <w:sz w:val="22"/>
          <w:szCs w:val="22"/>
          <w:rtl/>
        </w:rPr>
      </w:pPr>
      <w:r w:rsidRPr="008B74C8">
        <w:rPr>
          <w:rFonts w:ascii="Arial" w:hAnsi="Arial" w:cs="Arial"/>
          <w:sz w:val="22"/>
          <w:szCs w:val="22"/>
          <w:rtl/>
        </w:rPr>
        <w:t xml:space="preserve">המונח </w:t>
      </w:r>
      <w:r w:rsidRPr="008B74C8">
        <w:rPr>
          <w:rFonts w:ascii="Arial" w:hAnsi="Arial" w:cs="Arial"/>
          <w:b/>
          <w:bCs/>
          <w:sz w:val="22"/>
          <w:szCs w:val="22"/>
          <w:rtl/>
        </w:rPr>
        <w:t>התנתקות מוסרית</w:t>
      </w:r>
      <w:r w:rsidRPr="008B74C8">
        <w:rPr>
          <w:rFonts w:ascii="Arial" w:hAnsi="Arial" w:cs="Arial"/>
          <w:sz w:val="22"/>
          <w:szCs w:val="22"/>
          <w:rtl/>
        </w:rPr>
        <w:t xml:space="preserve">  מתייחס לשימוש בפרקטיקה של מתן לגיטימציה שמביאה להדחקה סלקטיבית של שיפוט במוסרי.  הדבר מאפשר לבצע פעולות לא מוסריות בעליל בלי לחוש תחושת אשמה או הערכה עצמית נמוכה. </w:t>
      </w:r>
      <w:proofErr w:type="spellStart"/>
      <w:r w:rsidRPr="008B74C8">
        <w:rPr>
          <w:rFonts w:ascii="Arial" w:hAnsi="Arial" w:cs="Arial"/>
          <w:sz w:val="22"/>
          <w:szCs w:val="22"/>
          <w:rtl/>
        </w:rPr>
        <w:t>פרקטיקות</w:t>
      </w:r>
      <w:proofErr w:type="spellEnd"/>
      <w:r w:rsidRPr="008B74C8">
        <w:rPr>
          <w:rFonts w:ascii="Arial" w:hAnsi="Arial" w:cs="Arial"/>
          <w:sz w:val="22"/>
          <w:szCs w:val="22"/>
          <w:rtl/>
        </w:rPr>
        <w:t xml:space="preserve"> של מתן לגיטימציה מאפשרות טרנספורמציה קוגניטיבית של התנהגות לא אנושית להתנהגות ראויה; ביניהן:</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sz w:val="22"/>
          <w:szCs w:val="22"/>
          <w:rtl/>
        </w:rPr>
        <w:t>הצדקה מוסרית: ראיית המעשה כנעשה לשם תכלית מסוימת או מטרה עליונה</w:t>
      </w:r>
    </w:p>
    <w:p w:rsidR="00FE419D" w:rsidRPr="008B74C8" w:rsidRDefault="00FE419D" w:rsidP="00FE419D">
      <w:pPr>
        <w:numPr>
          <w:ilvl w:val="0"/>
          <w:numId w:val="1"/>
        </w:numPr>
        <w:bidi/>
        <w:rPr>
          <w:rFonts w:ascii="Arial" w:hAnsi="Arial" w:cs="Arial"/>
          <w:sz w:val="22"/>
          <w:szCs w:val="22"/>
        </w:rPr>
      </w:pPr>
      <w:r w:rsidRPr="008B74C8">
        <w:rPr>
          <w:rFonts w:ascii="Arial" w:hAnsi="Arial" w:cs="Arial"/>
          <w:sz w:val="22"/>
          <w:szCs w:val="22"/>
          <w:rtl/>
        </w:rPr>
        <w:lastRenderedPageBreak/>
        <w:t>פרקטיקה לשונית של "איפמיזם" (</w:t>
      </w:r>
      <w:r w:rsidRPr="008B74C8">
        <w:rPr>
          <w:rFonts w:ascii="Arial" w:hAnsi="Arial" w:cs="Arial"/>
          <w:sz w:val="22"/>
          <w:szCs w:val="22"/>
        </w:rPr>
        <w:t>euphemism</w:t>
      </w:r>
      <w:r w:rsidRPr="008B74C8">
        <w:rPr>
          <w:rFonts w:ascii="Arial" w:hAnsi="Arial" w:cs="Arial"/>
          <w:sz w:val="22"/>
          <w:szCs w:val="22"/>
          <w:rtl/>
        </w:rPr>
        <w:t xml:space="preserve">): תיאור לשוני חיובי או </w:t>
      </w:r>
      <w:proofErr w:type="spellStart"/>
      <w:r w:rsidRPr="008B74C8">
        <w:rPr>
          <w:rFonts w:ascii="Arial" w:hAnsi="Arial" w:cs="Arial"/>
          <w:sz w:val="22"/>
          <w:szCs w:val="22"/>
          <w:rtl/>
        </w:rPr>
        <w:t>נייטראלי</w:t>
      </w:r>
      <w:proofErr w:type="spellEnd"/>
    </w:p>
    <w:p w:rsidR="00FE419D" w:rsidRPr="008B74C8" w:rsidRDefault="00FE419D" w:rsidP="00FE419D">
      <w:pPr>
        <w:numPr>
          <w:ilvl w:val="0"/>
          <w:numId w:val="1"/>
        </w:numPr>
        <w:bidi/>
        <w:rPr>
          <w:rFonts w:ascii="Arial" w:hAnsi="Arial" w:cs="Arial"/>
          <w:sz w:val="22"/>
          <w:szCs w:val="22"/>
          <w:rtl/>
        </w:rPr>
      </w:pPr>
      <w:r w:rsidRPr="008B74C8">
        <w:rPr>
          <w:rFonts w:ascii="Arial" w:hAnsi="Arial" w:cs="Arial"/>
          <w:sz w:val="22"/>
          <w:szCs w:val="22"/>
          <w:rtl/>
        </w:rPr>
        <w:t>השוואה למעשים גרועים יותר</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sz w:val="22"/>
          <w:szCs w:val="22"/>
          <w:rtl/>
        </w:rPr>
        <w:t>פיזור האחריות והמעטה במשמעות של הנעשה</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sz w:val="22"/>
          <w:szCs w:val="22"/>
          <w:rtl/>
        </w:rPr>
        <w:t>עיוות התוצאות</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sz w:val="22"/>
          <w:szCs w:val="22"/>
          <w:rtl/>
        </w:rPr>
        <w:t>דה-הומניזציה</w:t>
      </w:r>
    </w:p>
    <w:p w:rsidR="00FE419D" w:rsidRPr="008B74C8" w:rsidRDefault="00FE419D" w:rsidP="00FE419D">
      <w:pPr>
        <w:numPr>
          <w:ilvl w:val="0"/>
          <w:numId w:val="1"/>
        </w:numPr>
        <w:bidi/>
        <w:rPr>
          <w:rFonts w:ascii="Arial" w:hAnsi="Arial" w:cs="Arial"/>
          <w:sz w:val="22"/>
          <w:szCs w:val="22"/>
          <w:rtl/>
        </w:rPr>
      </w:pPr>
      <w:r w:rsidRPr="008B74C8">
        <w:rPr>
          <w:rFonts w:ascii="Arial" w:hAnsi="Arial" w:cs="Arial"/>
          <w:sz w:val="22"/>
          <w:szCs w:val="22"/>
          <w:rtl/>
        </w:rPr>
        <w:t>האשמת הקורבן</w:t>
      </w:r>
    </w:p>
    <w:p w:rsidR="00FE419D" w:rsidRPr="008B74C8" w:rsidRDefault="00FE419D" w:rsidP="00FE419D">
      <w:pPr>
        <w:bidi/>
        <w:rPr>
          <w:rFonts w:ascii="Arial" w:hAnsi="Arial" w:cs="Arial"/>
          <w:sz w:val="22"/>
          <w:szCs w:val="22"/>
          <w:rtl/>
        </w:rPr>
      </w:pPr>
      <w:r w:rsidRPr="008B74C8">
        <w:rPr>
          <w:rFonts w:ascii="Arial" w:hAnsi="Arial" w:cs="Arial"/>
          <w:sz w:val="22"/>
          <w:szCs w:val="22"/>
          <w:rtl/>
        </w:rPr>
        <w:t>הערכה כמותנית של מידת התנתקות מוסרית התאפשרה בעקבות פיתוח של "סולם התנתקות מוסרית" (</w:t>
      </w:r>
      <w:r w:rsidRPr="008B74C8">
        <w:rPr>
          <w:rFonts w:ascii="Arial" w:hAnsi="Arial" w:cs="Arial"/>
          <w:sz w:val="22"/>
          <w:szCs w:val="22"/>
        </w:rPr>
        <w:t>MDS</w:t>
      </w:r>
      <w:r w:rsidRPr="008B74C8">
        <w:rPr>
          <w:rFonts w:ascii="Arial" w:hAnsi="Arial" w:cs="Arial"/>
          <w:sz w:val="22"/>
          <w:szCs w:val="22"/>
          <w:rtl/>
        </w:rPr>
        <w:t xml:space="preserve">).מחקרים רבים הצביעו על הקשר בין רמה גבוהה של התנתקות מוסרית לתוקפנות הילדים. כמו כן, מצביעים מחקרים בין תרבותיים  על כי בקרב הבנים (ילדים ומבוגרים) הנטייה להתנתקות מוסרית גבוהה יותר מאשר בקרב הבנות. </w:t>
      </w:r>
    </w:p>
    <w:p w:rsidR="00FE419D" w:rsidRPr="008B74C8" w:rsidRDefault="00FE419D" w:rsidP="00FE419D">
      <w:pPr>
        <w:bidi/>
        <w:rPr>
          <w:rFonts w:ascii="Arial" w:hAnsi="Arial" w:cs="Arial"/>
          <w:sz w:val="22"/>
          <w:szCs w:val="22"/>
          <w:rtl/>
        </w:rPr>
      </w:pPr>
    </w:p>
    <w:p w:rsidR="00FE419D" w:rsidRPr="008B74C8" w:rsidRDefault="00FE419D" w:rsidP="00FE419D">
      <w:pPr>
        <w:bidi/>
        <w:rPr>
          <w:rFonts w:ascii="Arial" w:hAnsi="Arial" w:cs="Arial"/>
          <w:sz w:val="22"/>
          <w:szCs w:val="22"/>
          <w:rtl/>
        </w:rPr>
      </w:pPr>
      <w:r w:rsidRPr="008B74C8">
        <w:rPr>
          <w:rFonts w:ascii="Arial" w:hAnsi="Arial" w:cs="Arial"/>
          <w:sz w:val="22"/>
          <w:szCs w:val="22"/>
          <w:rtl/>
        </w:rPr>
        <w:t xml:space="preserve">רק מחקרים בודדים חקרו את תהליך ההתנתקות המוסרית בהקשר הבריונות. הם מצביעים על הקשר שבין רמה גבוהה של התנתקות מוסרית לבין יחס חיובי כלפי תפקיד התוקף; ילדים שבעצמם מעורבים במעשי הבריונות נוטים יותר להתנתקות מוסרית מאשר הילדים שאינם מעורבים כלל במעשי הבריונות; מחקרים מאשרים גם את המידה הגבוהה של ההתנתקות המוסרית בקרב צופים פסיביים.  אחד המחקרים מראה כי להתנקות מוסרית יש השפעה גדולה יותר על התנהגות מאשר לאמפתיה, מה שמראה כי </w:t>
      </w:r>
      <w:proofErr w:type="spellStart"/>
      <w:r w:rsidRPr="008B74C8">
        <w:rPr>
          <w:rFonts w:ascii="Arial" w:hAnsi="Arial" w:cs="Arial"/>
          <w:sz w:val="22"/>
          <w:szCs w:val="22"/>
          <w:rtl/>
        </w:rPr>
        <w:t>תוכניות</w:t>
      </w:r>
      <w:proofErr w:type="spellEnd"/>
      <w:r w:rsidRPr="008B74C8">
        <w:rPr>
          <w:rFonts w:ascii="Arial" w:hAnsi="Arial" w:cs="Arial"/>
          <w:sz w:val="22"/>
          <w:szCs w:val="22"/>
          <w:rtl/>
        </w:rPr>
        <w:t xml:space="preserve"> ההתערבות צריכות להתמקד לא רק בחיזוק האמפתיה אלא בראש ובראשונה בפיתוח סוכנות מוסרית.</w:t>
      </w:r>
    </w:p>
    <w:p w:rsidR="00FE419D" w:rsidRPr="008B74C8" w:rsidRDefault="00FE419D" w:rsidP="00FE419D">
      <w:pPr>
        <w:bidi/>
        <w:rPr>
          <w:rFonts w:ascii="Arial" w:hAnsi="Arial" w:cs="Arial"/>
          <w:sz w:val="22"/>
          <w:szCs w:val="22"/>
          <w:rtl/>
        </w:rPr>
      </w:pPr>
    </w:p>
    <w:p w:rsidR="00FE419D" w:rsidRPr="008B74C8" w:rsidRDefault="00FE419D" w:rsidP="00FE419D">
      <w:pPr>
        <w:bidi/>
        <w:rPr>
          <w:rFonts w:ascii="Arial" w:hAnsi="Arial" w:cs="Arial"/>
          <w:b/>
          <w:bCs/>
          <w:sz w:val="22"/>
          <w:szCs w:val="22"/>
          <w:rtl/>
        </w:rPr>
      </w:pPr>
      <w:r w:rsidRPr="008B74C8">
        <w:rPr>
          <w:rFonts w:ascii="Arial" w:hAnsi="Arial" w:cs="Arial"/>
          <w:b/>
          <w:bCs/>
          <w:sz w:val="22"/>
          <w:szCs w:val="22"/>
          <w:rtl/>
        </w:rPr>
        <w:t>המחקר</w:t>
      </w:r>
    </w:p>
    <w:p w:rsidR="00FE419D" w:rsidRDefault="00FE419D" w:rsidP="00FE419D">
      <w:pPr>
        <w:bidi/>
        <w:rPr>
          <w:rFonts w:ascii="Arial" w:hAnsi="Arial" w:cs="Arial"/>
          <w:b/>
          <w:bCs/>
          <w:sz w:val="22"/>
          <w:szCs w:val="22"/>
          <w:rtl/>
        </w:rPr>
      </w:pPr>
      <w:r w:rsidRPr="008B74C8">
        <w:rPr>
          <w:rFonts w:ascii="Arial" w:hAnsi="Arial" w:cs="Arial"/>
          <w:sz w:val="22"/>
          <w:szCs w:val="22"/>
          <w:rtl/>
        </w:rPr>
        <w:t>המחקר הנוכחי משווה את ההזדקקות להתנתקות המוסרית בין 4 קבוצות: צופים מהצד (שלא חשו אחריות כלשהי), צופים שחשים אשמים, ילדים שלא היו עדים למעשי בריונות, ילדים שמנסים באופן פעיל לסייע לקורבן (</w:t>
      </w:r>
      <w:proofErr w:type="spellStart"/>
      <w:r w:rsidRPr="008B74C8">
        <w:rPr>
          <w:rFonts w:ascii="Arial" w:hAnsi="Arial" w:cs="Arial"/>
          <w:sz w:val="22"/>
          <w:szCs w:val="22"/>
          <w:rtl/>
        </w:rPr>
        <w:t>מגינים</w:t>
      </w:r>
      <w:proofErr w:type="spellEnd"/>
      <w:r w:rsidRPr="008B74C8">
        <w:rPr>
          <w:rFonts w:ascii="Arial" w:hAnsi="Arial" w:cs="Arial"/>
          <w:sz w:val="22"/>
          <w:szCs w:val="22"/>
          <w:rtl/>
        </w:rPr>
        <w:t xml:space="preserve">). על סמך ההנחה כי התנתקות מוסרית משחררת מהצורך לחוש אשמה ואחריות, ההשערה המחקרית </w:t>
      </w:r>
      <w:proofErr w:type="spellStart"/>
      <w:r w:rsidRPr="008B74C8">
        <w:rPr>
          <w:rFonts w:ascii="Arial" w:hAnsi="Arial" w:cs="Arial"/>
          <w:sz w:val="22"/>
          <w:szCs w:val="22"/>
          <w:rtl/>
        </w:rPr>
        <w:t>היתה</w:t>
      </w:r>
      <w:proofErr w:type="spellEnd"/>
      <w:r w:rsidRPr="008B74C8">
        <w:rPr>
          <w:rFonts w:ascii="Arial" w:hAnsi="Arial" w:cs="Arial"/>
          <w:sz w:val="22"/>
          <w:szCs w:val="22"/>
          <w:rtl/>
        </w:rPr>
        <w:t xml:space="preserve"> כי צופים שחשים אשמה לא פיתחו התנתקות מוסרית באותה מידה כמו צופים מהצד שמתכחשים לאחריות כלשהי. סברנו כי רמת ההתנתקות המוסרית תהיה זהה בקרב צופים "אשמים" וצופים </w:t>
      </w:r>
      <w:proofErr w:type="spellStart"/>
      <w:r w:rsidRPr="008B74C8">
        <w:rPr>
          <w:rFonts w:ascii="Arial" w:hAnsi="Arial" w:cs="Arial"/>
          <w:sz w:val="22"/>
          <w:szCs w:val="22"/>
          <w:rtl/>
        </w:rPr>
        <w:t>מגינים</w:t>
      </w:r>
      <w:proofErr w:type="spellEnd"/>
      <w:r w:rsidRPr="008B74C8">
        <w:rPr>
          <w:rFonts w:ascii="Arial" w:hAnsi="Arial" w:cs="Arial"/>
          <w:sz w:val="22"/>
          <w:szCs w:val="22"/>
          <w:rtl/>
        </w:rPr>
        <w:t>, וזאת למרות ההבדל המעשי ביניהם. ציפינו גם כי ילדים שלא היו עדים למעשי בריונות יגלו רמה נמוכה של התנתקות מוסרית משום שלא חוו חוויה ש גורמת להם לבצע פשרות בעקרונותיהם המוסריים. כמו כן נבחנו ההבדלים המגדריים. המחקר התבצע בכיתות ז-ט (ילדים בגילאי 11 – 14) ב-8 בתי ספר ממלכתיים בדנמרק.</w:t>
      </w:r>
    </w:p>
    <w:p w:rsidR="00FE419D" w:rsidRDefault="00FE419D" w:rsidP="00FE419D">
      <w:pPr>
        <w:bidi/>
        <w:rPr>
          <w:rFonts w:ascii="Arial" w:hAnsi="Arial" w:cs="Arial"/>
          <w:b/>
          <w:bCs/>
          <w:sz w:val="22"/>
          <w:szCs w:val="22"/>
          <w:rtl/>
        </w:rPr>
      </w:pPr>
    </w:p>
    <w:p w:rsidR="00FE419D" w:rsidRPr="008B74C8" w:rsidRDefault="00FE419D" w:rsidP="00FE419D">
      <w:pPr>
        <w:bidi/>
        <w:rPr>
          <w:rFonts w:ascii="Arial" w:hAnsi="Arial" w:cs="Arial"/>
          <w:b/>
          <w:bCs/>
          <w:sz w:val="22"/>
          <w:szCs w:val="22"/>
          <w:rtl/>
        </w:rPr>
      </w:pPr>
      <w:bookmarkStart w:id="0" w:name="_GoBack"/>
      <w:bookmarkEnd w:id="0"/>
      <w:r w:rsidRPr="008B74C8">
        <w:rPr>
          <w:rFonts w:ascii="Arial" w:hAnsi="Arial" w:cs="Arial"/>
          <w:b/>
          <w:bCs/>
          <w:sz w:val="22"/>
          <w:szCs w:val="22"/>
          <w:rtl/>
        </w:rPr>
        <w:t>תוצאות והשלכות</w:t>
      </w:r>
    </w:p>
    <w:p w:rsidR="00FE419D" w:rsidRPr="008B74C8" w:rsidRDefault="00FE419D" w:rsidP="00FE419D">
      <w:pPr>
        <w:bidi/>
        <w:rPr>
          <w:rFonts w:ascii="Arial" w:hAnsi="Arial" w:cs="Arial"/>
          <w:sz w:val="22"/>
          <w:szCs w:val="22"/>
          <w:rtl/>
        </w:rPr>
      </w:pPr>
      <w:r w:rsidRPr="008B74C8">
        <w:rPr>
          <w:rFonts w:ascii="Arial" w:hAnsi="Arial" w:cs="Arial"/>
          <w:sz w:val="22"/>
          <w:szCs w:val="22"/>
          <w:rtl/>
        </w:rPr>
        <w:t>תוצאות המחקר אישרו את ההשערה המקורית  כי לא רק מעורבות פעילה אלא גם מעורבות פסיבית במעשה הבריונות קשורה לרמה גבוהה יותר של התנתקות מוסרית (אם כי פחותה יותר מהבחינה הכמותית). משמעות הדבר היא שהחוויה של עדות למעשי הבריונות יכולה להגביר את הנטייה להתנתקות המוסרית. במחקר הנוכחי נמצא כי אחוז הבנות שממלאות תפקיד מגנות גבוהה מאשר אחוז הבנים – הדבר תואם גם למחקרים קודמים. כמו כן, במחקר הנוכחי גילו הבנים רמה גבוהה יותר של התנתקות מוסרית מאשר הבנות..</w:t>
      </w:r>
    </w:p>
    <w:p w:rsidR="00FE419D" w:rsidRPr="008B74C8" w:rsidRDefault="00FE419D" w:rsidP="00FE419D">
      <w:pPr>
        <w:bidi/>
        <w:rPr>
          <w:rFonts w:ascii="Arial" w:hAnsi="Arial" w:cs="Arial"/>
          <w:sz w:val="22"/>
          <w:szCs w:val="22"/>
          <w:rtl/>
        </w:rPr>
      </w:pPr>
    </w:p>
    <w:p w:rsidR="00FE419D" w:rsidRPr="008B74C8" w:rsidRDefault="00FE419D" w:rsidP="00FE419D">
      <w:pPr>
        <w:bidi/>
        <w:rPr>
          <w:rFonts w:ascii="Arial" w:hAnsi="Arial" w:cs="Arial"/>
          <w:sz w:val="22"/>
          <w:szCs w:val="22"/>
          <w:rtl/>
        </w:rPr>
      </w:pPr>
      <w:r w:rsidRPr="008B74C8">
        <w:rPr>
          <w:rFonts w:ascii="Arial" w:hAnsi="Arial" w:cs="Arial"/>
          <w:sz w:val="22"/>
          <w:szCs w:val="22"/>
          <w:rtl/>
        </w:rPr>
        <w:t xml:space="preserve">בהתאם לציפיות המוקדמות, נמצא כי רמת ההתנתקות המוסרית  בקרב קבוצות של </w:t>
      </w:r>
      <w:proofErr w:type="spellStart"/>
      <w:r w:rsidRPr="008B74C8">
        <w:rPr>
          <w:rFonts w:ascii="Arial" w:hAnsi="Arial" w:cs="Arial"/>
          <w:sz w:val="22"/>
          <w:szCs w:val="22"/>
          <w:rtl/>
        </w:rPr>
        <w:t>מגינים</w:t>
      </w:r>
      <w:proofErr w:type="spellEnd"/>
      <w:r w:rsidRPr="008B74C8">
        <w:rPr>
          <w:rFonts w:ascii="Arial" w:hAnsi="Arial" w:cs="Arial"/>
          <w:sz w:val="22"/>
          <w:szCs w:val="22"/>
          <w:rtl/>
        </w:rPr>
        <w:t xml:space="preserve"> וצופים </w:t>
      </w:r>
      <w:proofErr w:type="spellStart"/>
      <w:r w:rsidRPr="008B74C8">
        <w:rPr>
          <w:rFonts w:ascii="Arial" w:hAnsi="Arial" w:cs="Arial"/>
          <w:sz w:val="22"/>
          <w:szCs w:val="22"/>
          <w:rtl/>
        </w:rPr>
        <w:t>מרגישי</w:t>
      </w:r>
      <w:proofErr w:type="spellEnd"/>
      <w:r w:rsidRPr="008B74C8">
        <w:rPr>
          <w:rFonts w:ascii="Arial" w:hAnsi="Arial" w:cs="Arial"/>
          <w:sz w:val="22"/>
          <w:szCs w:val="22"/>
          <w:rtl/>
        </w:rPr>
        <w:t xml:space="preserve"> אשמה </w:t>
      </w:r>
      <w:proofErr w:type="spellStart"/>
      <w:r w:rsidRPr="008B74C8">
        <w:rPr>
          <w:rFonts w:ascii="Arial" w:hAnsi="Arial" w:cs="Arial"/>
          <w:sz w:val="22"/>
          <w:szCs w:val="22"/>
          <w:rtl/>
        </w:rPr>
        <w:t>היתה</w:t>
      </w:r>
      <w:proofErr w:type="spellEnd"/>
      <w:r w:rsidRPr="008B74C8">
        <w:rPr>
          <w:rFonts w:ascii="Arial" w:hAnsi="Arial" w:cs="Arial"/>
          <w:sz w:val="22"/>
          <w:szCs w:val="22"/>
          <w:rtl/>
        </w:rPr>
        <w:t xml:space="preserve"> פחות או יותר זהה; היא הייתה נמוכה מאשר בקרב ילדים הצופים מהצד. ממצאים אלה מצביעים על החשיבות שיש לעצם השיפוט המוסרי והכרת ההתנהגות הבריונית כפסולה ובלתי-מוסרית, גם כשהערכה זאת אינה מתורגמת לפעולה.  ההתנתקות המוסרית תלויה בראש ובראשונה בתחושת האחריות לנוכח מעשה הבריונות, שבאה לידי ביטוי  בהגנה על הקורבן או בתחושת אשמה. ממצאים אלה מצביעים על כך שלא  ניתן להתייחס לצופים פסיביים כקבוצה הומוגנית שנותנת לגיטימציה לבריונות. העובדה כי  צופים שמרגישים אשמה בעקבות הפסיביות שלהם לא פיתחו התנתקות מוסרית שהייתה מקלה עליהם, מאשרת את ההנחה הכללית שאנשים שחשים אחריות ואשמה פחות נוטים להתנתקות מוסרית, גם במצב לא נוח עבורם.</w:t>
      </w:r>
    </w:p>
    <w:p w:rsidR="00FE419D" w:rsidRPr="008B74C8" w:rsidRDefault="00FE419D" w:rsidP="00FE419D">
      <w:pPr>
        <w:bidi/>
        <w:rPr>
          <w:rFonts w:ascii="Arial" w:hAnsi="Arial" w:cs="Arial"/>
          <w:sz w:val="22"/>
          <w:szCs w:val="22"/>
          <w:rtl/>
        </w:rPr>
      </w:pPr>
    </w:p>
    <w:p w:rsidR="00CB4620" w:rsidRPr="00FE419D" w:rsidRDefault="00FE419D" w:rsidP="00FE419D">
      <w:pPr>
        <w:bidi/>
        <w:rPr>
          <w:rFonts w:ascii="Arial" w:hAnsi="Arial" w:cs="Arial"/>
          <w:sz w:val="22"/>
          <w:szCs w:val="22"/>
        </w:rPr>
      </w:pPr>
      <w:r w:rsidRPr="008B74C8">
        <w:rPr>
          <w:rFonts w:ascii="Arial" w:hAnsi="Arial" w:cs="Arial"/>
          <w:sz w:val="22"/>
          <w:szCs w:val="22"/>
          <w:rtl/>
        </w:rPr>
        <w:t>בניגוד להנחה המוקדמת נמצא כי רמת ההתנתקות המוסרית הייתה גבוהה יותר בקרב ילדים שלא היו עדים למעשי בריוניות מאשר בקרב תלמידים "</w:t>
      </w:r>
      <w:proofErr w:type="spellStart"/>
      <w:r w:rsidRPr="008B74C8">
        <w:rPr>
          <w:rFonts w:ascii="Arial" w:hAnsi="Arial" w:cs="Arial"/>
          <w:sz w:val="22"/>
          <w:szCs w:val="22"/>
          <w:rtl/>
        </w:rPr>
        <w:t>מגינים</w:t>
      </w:r>
      <w:proofErr w:type="spellEnd"/>
      <w:r w:rsidRPr="008B74C8">
        <w:rPr>
          <w:rFonts w:ascii="Arial" w:hAnsi="Arial" w:cs="Arial"/>
          <w:sz w:val="22"/>
          <w:szCs w:val="22"/>
          <w:rtl/>
        </w:rPr>
        <w:t xml:space="preserve">".  לכאורה העובדה שהילדים שלא היו עדים לבריונות מגלים התנתקות מוסרית נראית תמוהה. אחד ההסברים האפשריים הוא כי ילדים האלה בפועל כן היו עדים למעשי תוקפנות, אך העדיפו לא לסווג אותם כבריונות. המחקר שלנו הצביע על הקשר ההדוק בין תוקף לצופים מהצד:  פעילות הבריונות סבירה יותר בנוכחות צופים מהצד שלא מגלים עניין בנעשה; כמו כן, קיימת תופעה של החלפת התפקידים בין תוקפים לצופים מהצד. נתונים אלה חשובים  לעיצוב </w:t>
      </w:r>
      <w:proofErr w:type="spellStart"/>
      <w:r w:rsidRPr="008B74C8">
        <w:rPr>
          <w:rFonts w:ascii="Arial" w:hAnsi="Arial" w:cs="Arial"/>
          <w:sz w:val="22"/>
          <w:szCs w:val="22"/>
          <w:rtl/>
        </w:rPr>
        <w:t>תוכניות</w:t>
      </w:r>
      <w:proofErr w:type="spellEnd"/>
      <w:r w:rsidRPr="008B74C8">
        <w:rPr>
          <w:rFonts w:ascii="Arial" w:hAnsi="Arial" w:cs="Arial"/>
          <w:sz w:val="22"/>
          <w:szCs w:val="22"/>
          <w:rtl/>
        </w:rPr>
        <w:t xml:space="preserve"> ההתערבות – עליהן להתייחס במכלול אחד גם לתוקפים וגם לצופים מהצד. כמו כן, ניתן לומר כי על </w:t>
      </w:r>
      <w:proofErr w:type="spellStart"/>
      <w:r w:rsidRPr="008B74C8">
        <w:rPr>
          <w:rFonts w:ascii="Arial" w:hAnsi="Arial" w:cs="Arial"/>
          <w:sz w:val="22"/>
          <w:szCs w:val="22"/>
          <w:rtl/>
        </w:rPr>
        <w:t>תוכניות</w:t>
      </w:r>
      <w:proofErr w:type="spellEnd"/>
      <w:r w:rsidRPr="008B74C8">
        <w:rPr>
          <w:rFonts w:ascii="Arial" w:hAnsi="Arial" w:cs="Arial"/>
          <w:sz w:val="22"/>
          <w:szCs w:val="22"/>
          <w:rtl/>
        </w:rPr>
        <w:t xml:space="preserve"> ההתערבות להתמקד במאבק  כנגד ההתנתקות המוסרית ובפיתוח תחושת האחריות.. על המחנכים להתייחס למונח ההתנתקות המוסרית ולהכניס אותו לקוריקולום על מנת שהילדים יהיו מסוגלים יותר לזהות את התופעה הזאת בפרקטיקה אישית שלהם.</w:t>
      </w:r>
    </w:p>
    <w:sectPr w:rsidR="00CB4620" w:rsidRPr="00FE419D" w:rsidSect="00A92A0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A3FAE"/>
    <w:multiLevelType w:val="hybridMultilevel"/>
    <w:tmpl w:val="6D82AAB4"/>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9D"/>
    <w:rsid w:val="00B63548"/>
    <w:rsid w:val="00CB4620"/>
    <w:rsid w:val="00FE4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A5FA8-A5FD-476D-9C88-DA40D46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E419D"/>
    <w:pPr>
      <w:spacing w:after="0" w:line="360" w:lineRule="auto"/>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4930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2019-07-02T12:33:00Z</dcterms:created>
  <dcterms:modified xsi:type="dcterms:W3CDTF">2019-07-02T12:34:00Z</dcterms:modified>
</cp:coreProperties>
</file>