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43" w:rsidRPr="00F07526" w:rsidRDefault="005F5243" w:rsidP="005F5243">
      <w:pPr>
        <w:jc w:val="center"/>
        <w:rPr>
          <w:b/>
          <w:bCs/>
          <w:rtl/>
        </w:rPr>
      </w:pPr>
      <w:r>
        <w:rPr>
          <w:rFonts w:hint="cs"/>
          <w:b/>
          <w:bCs/>
          <w:rtl/>
        </w:rPr>
        <w:t>חיוניותה של החוויה</w:t>
      </w:r>
      <w:r w:rsidRPr="00F07526">
        <w:rPr>
          <w:rFonts w:hint="cs"/>
          <w:b/>
          <w:bCs/>
          <w:rtl/>
        </w:rPr>
        <w:t xml:space="preserve"> ה</w:t>
      </w:r>
      <w:r>
        <w:rPr>
          <w:rFonts w:hint="cs"/>
          <w:b/>
          <w:bCs/>
          <w:rtl/>
        </w:rPr>
        <w:t>אסתטית בחינוך לאמנות ב</w:t>
      </w:r>
      <w:r w:rsidRPr="00F07526">
        <w:rPr>
          <w:rFonts w:hint="cs"/>
          <w:b/>
          <w:bCs/>
          <w:rtl/>
        </w:rPr>
        <w:t>מאה ה</w:t>
      </w:r>
      <w:r>
        <w:rPr>
          <w:rFonts w:hint="cs"/>
          <w:b/>
          <w:bCs/>
          <w:rtl/>
        </w:rPr>
        <w:t>-</w:t>
      </w:r>
      <w:r w:rsidRPr="00F07526">
        <w:rPr>
          <w:rFonts w:hint="cs"/>
          <w:b/>
          <w:bCs/>
        </w:rPr>
        <w:t>XXI</w:t>
      </w:r>
      <w:r w:rsidRPr="00F07526">
        <w:rPr>
          <w:rFonts w:hint="cs"/>
          <w:b/>
          <w:bCs/>
          <w:rtl/>
        </w:rPr>
        <w:t>:</w:t>
      </w:r>
      <w:r>
        <w:rPr>
          <w:rFonts w:hint="cs"/>
          <w:b/>
          <w:bCs/>
          <w:rtl/>
        </w:rPr>
        <w:t xml:space="preserve"> תפקיד הפליאה</w:t>
      </w:r>
    </w:p>
    <w:p w:rsidR="005F5243" w:rsidRDefault="005F5243" w:rsidP="005F5243">
      <w:pPr>
        <w:rPr>
          <w:rtl/>
        </w:rPr>
      </w:pPr>
    </w:p>
    <w:p w:rsidR="005F5243" w:rsidRDefault="005F5243" w:rsidP="005F5243">
      <w:pPr>
        <w:rPr>
          <w:rtl/>
        </w:rPr>
      </w:pPr>
      <w:r>
        <w:rPr>
          <w:rFonts w:hint="cs"/>
          <w:rtl/>
        </w:rPr>
        <w:t>התקציר נעשה על סמך:</w:t>
      </w:r>
    </w:p>
    <w:p w:rsidR="005F5243" w:rsidRPr="00F07526" w:rsidRDefault="005F5243" w:rsidP="005F5243">
      <w:pPr>
        <w:bidi w:val="0"/>
      </w:pPr>
      <w:r>
        <w:t xml:space="preserve">Tracie </w:t>
      </w:r>
      <w:proofErr w:type="spellStart"/>
      <w:r>
        <w:t>Constantino</w:t>
      </w:r>
      <w:proofErr w:type="spellEnd"/>
      <w:r>
        <w:t xml:space="preserve">, "The Critical Relevance of Aesthetic Experience for Twenty-First Century Art Education: The Role of Wonder", in: Tracie </w:t>
      </w:r>
      <w:proofErr w:type="spellStart"/>
      <w:r>
        <w:t>Constantino</w:t>
      </w:r>
      <w:proofErr w:type="spellEnd"/>
      <w:r>
        <w:t xml:space="preserve"> and Boyd White (Eds.), </w:t>
      </w:r>
      <w:r>
        <w:rPr>
          <w:i/>
          <w:iCs/>
        </w:rPr>
        <w:t>Essays of Aesthetic Education for the 21</w:t>
      </w:r>
      <w:r w:rsidRPr="00F07526">
        <w:rPr>
          <w:i/>
          <w:iCs/>
          <w:vertAlign w:val="superscript"/>
        </w:rPr>
        <w:t>st</w:t>
      </w:r>
      <w:r>
        <w:rPr>
          <w:i/>
          <w:iCs/>
        </w:rPr>
        <w:t xml:space="preserve"> Century", </w:t>
      </w:r>
      <w:r>
        <w:t>Sense Publishers, 2010, pp. 63 – 80/</w:t>
      </w:r>
    </w:p>
    <w:p w:rsidR="005F5243" w:rsidRDefault="005F5243" w:rsidP="005F5243">
      <w:pPr>
        <w:rPr>
          <w:rtl/>
        </w:rPr>
      </w:pPr>
    </w:p>
    <w:p w:rsidR="005F5243" w:rsidRDefault="005F5243" w:rsidP="005F5243">
      <w:pPr>
        <w:rPr>
          <w:rtl/>
        </w:rPr>
      </w:pPr>
      <w:r>
        <w:rPr>
          <w:rFonts w:hint="cs"/>
          <w:rtl/>
        </w:rPr>
        <w:t xml:space="preserve">בעשורים האחרונים חוקרים בתחום של ביקורת האמנות והדיסציפלינות הקרובות </w:t>
      </w:r>
      <w:r w:rsidRPr="00420B5E">
        <w:rPr>
          <w:rFonts w:hint="cs"/>
          <w:rtl/>
        </w:rPr>
        <w:t xml:space="preserve">מטילים </w:t>
      </w:r>
      <w:r>
        <w:rPr>
          <w:rFonts w:hint="cs"/>
          <w:rtl/>
        </w:rPr>
        <w:t xml:space="preserve">ספק </w:t>
      </w:r>
      <w:r w:rsidRPr="00420B5E">
        <w:rPr>
          <w:rFonts w:hint="cs"/>
          <w:rtl/>
        </w:rPr>
        <w:t>ברלוונטיות של החוויה האסתטית עבור החינוך</w:t>
      </w:r>
      <w:r>
        <w:rPr>
          <w:rFonts w:hint="cs"/>
          <w:rtl/>
        </w:rPr>
        <w:t xml:space="preserve"> ושוללים את עצם האפשרות של הערכה אסתטית טהורה, נטולת אינטרסים. במאמר הנוכחי נעשה ניסיון להצדיק את</w:t>
      </w:r>
      <w:r w:rsidRPr="00420B5E">
        <w:rPr>
          <w:rFonts w:hint="cs"/>
          <w:rtl/>
        </w:rPr>
        <w:t xml:space="preserve"> מעמדה של החוויה האסתטית באמצעות המונח - פליאה (</w:t>
      </w:r>
      <w:r w:rsidRPr="00420B5E">
        <w:t>wonder</w:t>
      </w:r>
      <w:r w:rsidRPr="00420B5E">
        <w:rPr>
          <w:rFonts w:hint="cs"/>
          <w:rtl/>
        </w:rPr>
        <w:t>).</w:t>
      </w:r>
    </w:p>
    <w:p w:rsidR="005F5243" w:rsidRDefault="005F5243" w:rsidP="005F5243">
      <w:pPr>
        <w:rPr>
          <w:rtl/>
        </w:rPr>
      </w:pPr>
    </w:p>
    <w:p w:rsidR="005F5243" w:rsidRDefault="005F5243" w:rsidP="005F5243">
      <w:pPr>
        <w:rPr>
          <w:rtl/>
        </w:rPr>
      </w:pPr>
      <w:r>
        <w:rPr>
          <w:rFonts w:hint="cs"/>
          <w:rtl/>
        </w:rPr>
        <w:t>תפקיד הפליאה במסגרת החוויה האסתטית נבחן כבר בתחילת המאה ה-</w:t>
      </w:r>
      <w:r>
        <w:rPr>
          <w:rFonts w:hint="cs"/>
        </w:rPr>
        <w:t>XX</w:t>
      </w:r>
      <w:r>
        <w:rPr>
          <w:rFonts w:hint="cs"/>
          <w:rtl/>
        </w:rPr>
        <w:t xml:space="preserve"> על ידי ג'ון דיואי ולאחר מכן, בסוף המאה, </w:t>
      </w:r>
      <w:r w:rsidRPr="00420B5E">
        <w:rPr>
          <w:rFonts w:hint="cs"/>
          <w:rtl/>
        </w:rPr>
        <w:t>במחקרים</w:t>
      </w:r>
      <w:r>
        <w:rPr>
          <w:rFonts w:hint="cs"/>
          <w:rtl/>
        </w:rPr>
        <w:t xml:space="preserve"> של פיליפ פישר (</w:t>
      </w:r>
      <w:r>
        <w:t>Philip Fisher</w:t>
      </w:r>
      <w:r>
        <w:rPr>
          <w:rFonts w:hint="cs"/>
          <w:rtl/>
        </w:rPr>
        <w:t xml:space="preserve">). דיואי מקשר בין החוויה האסתטית להוויה הקוגניטיבית; ואת הפליאה הנוצרת במסגרת החוויה האסתטית הוא מכנה - תחושה אינטלקטואלית. התחושה האינטלקטואלית מגולמת באינטרס באובייקט החיצוני, היא מופנית החוצה ובאה לידי מימוש דרך הפעילות האקטיבית והאינטלקטואלית של הסובייקט. דיואי רואה בפליאה תכונה שמקדמת חשיבה, ובמיוחד כשמקורה בחוויה אסתטית. בדומה לו, גם פישר מדבר על הפליאה כתגובה רב-ממדית הכוללת רצון להעניק משמעות ומובן לחוויה האסתטית, מה שמעורר את הדחף לחקור. הפליאה אם כך אינה התרשמות פסיבית אלא תגובה פעילה נוכח יצירת האמנות והיא כוללת בתוכה חשיבה, פתרון בעיות וניתוח של היצירה. בסיכומו של דבר, פואטיקה של פליאה אסתטית היא תהליך של כינון המשמעות. </w:t>
      </w:r>
    </w:p>
    <w:p w:rsidR="005F5243" w:rsidRDefault="005F5243" w:rsidP="005F5243">
      <w:pPr>
        <w:rPr>
          <w:rtl/>
        </w:rPr>
      </w:pPr>
    </w:p>
    <w:p w:rsidR="005F5243" w:rsidRDefault="005F5243" w:rsidP="005F5243">
      <w:pPr>
        <w:rPr>
          <w:rtl/>
        </w:rPr>
      </w:pPr>
      <w:r>
        <w:rPr>
          <w:rFonts w:hint="cs"/>
          <w:rtl/>
        </w:rPr>
        <w:t>הערך החינוכי של החוויה האסתטית הוא בכך שפליאה אסתטית דוחפת את הסובייקט לכונן את המשמעות של יצירת האמנות, לקשר בינה לבין ידע קודם ולחקור אותה לאור הידע החדש. חשוב להצביע גם על הבדל מהותי בין פליאה לבין סקרנות; לפי דיואי, ההבדל טמון בהיותה של האמנות נובעת מאובייקט קיים ובהשראה שהיא מקבלת ממנו. משום כך דיואי רואה בפליאה בסיס לא רק לחוויה האסתטית אלא גם למחקר המדעי; זו גם הסיבה לרלוונטיות של החוויה האסתטית במסגרת החינוכית של זמננו. פליאה יכולה לקדם את חקר התופעה, כאשר התנועה מופנית גם כלפי האובייקט החיצוני וגם לכיוון של רפלקסיה עצמית וחקר עצמי. ניתן לראות כי לתכונה זו יש פוטנציאל בפיתוח מודעות כלפי אי צדק חברתי, בקידום הבנה ואמפתיה כלפי אחרים, וזה גם מה שמבחין בינה לבין סקרנות אישית.</w:t>
      </w:r>
    </w:p>
    <w:p w:rsidR="005F5243" w:rsidRDefault="005F5243" w:rsidP="005F5243">
      <w:pPr>
        <w:rPr>
          <w:rtl/>
        </w:rPr>
      </w:pPr>
    </w:p>
    <w:p w:rsidR="005F5243" w:rsidRDefault="005F5243" w:rsidP="005F5243">
      <w:pPr>
        <w:rPr>
          <w:rtl/>
        </w:rPr>
      </w:pPr>
      <w:bookmarkStart w:id="0" w:name="_GoBack"/>
      <w:bookmarkEnd w:id="0"/>
      <w:r>
        <w:rPr>
          <w:rFonts w:hint="cs"/>
          <w:rtl/>
        </w:rPr>
        <w:t xml:space="preserve">בעשורים האחרונים חלה התקדמות ניכרת במחקר המדעי של תפקידי הרגש בתהליכי ההכרה. כך למשל, מחקרים הראו כי חולים בעלי פגיעות מוחיות באזורים הקשורים לרגשות אינם מסוגלים לקשר בין ידע קודם שלהם לאופן קבלת החלטות על אודות ההתנהגות הראויה או להסיק מסקנות מניסיון </w:t>
      </w:r>
      <w:r>
        <w:rPr>
          <w:rFonts w:hint="cs"/>
          <w:rtl/>
        </w:rPr>
        <w:lastRenderedPageBreak/>
        <w:t xml:space="preserve">קודם באשר לפעילות עתידית. מחקרים נוירופסיכולוגיים אלה ואחרים הצביעו על תפקידו החיוני של הידע הרגשי בתהליכי הלמידה וקבלת ההחלטות, ועל כך שרגשות הם נדבך הכרחי בעבור התהליכים הקוגניטיביים. </w:t>
      </w:r>
    </w:p>
    <w:p w:rsidR="005F5243" w:rsidRDefault="005F5243" w:rsidP="005F5243">
      <w:pPr>
        <w:rPr>
          <w:rtl/>
        </w:rPr>
      </w:pPr>
    </w:p>
    <w:p w:rsidR="005F5243" w:rsidRDefault="005F5243" w:rsidP="005F5243">
      <w:pPr>
        <w:rPr>
          <w:rtl/>
        </w:rPr>
      </w:pPr>
      <w:r>
        <w:rPr>
          <w:rFonts w:hint="cs"/>
          <w:rtl/>
        </w:rPr>
        <w:t>שינויים אלה בתפישה הנוירופסיכולוגית באים לידי ביטוי גם במסגרת המחקר החינוכי (</w:t>
      </w:r>
      <w:proofErr w:type="spellStart"/>
      <w:r>
        <w:t>Immorino-Yand</w:t>
      </w:r>
      <w:proofErr w:type="spellEnd"/>
      <w:r>
        <w:t xml:space="preserve">, </w:t>
      </w:r>
      <w:proofErr w:type="spellStart"/>
      <w:r>
        <w:t>Damasio</w:t>
      </w:r>
      <w:proofErr w:type="spellEnd"/>
      <w:r>
        <w:rPr>
          <w:rFonts w:hint="cs"/>
          <w:rtl/>
        </w:rPr>
        <w:t>). כך פותח המונח של חשיבה רגשית (</w:t>
      </w:r>
      <w:r>
        <w:t>emotional reasoning</w:t>
      </w:r>
      <w:r>
        <w:rPr>
          <w:rFonts w:hint="cs"/>
          <w:rtl/>
        </w:rPr>
        <w:t xml:space="preserve">),המשקף את הקשר ההדדי בין הכרה לרגש. החשיבה הרגשית כוללת תהליכים של למידה, זיכרון וקבלת החלטות בהקשרים חברתיים ואחרים ומאפשרת פיתוח יצירתיות והתמודדות עם מצבים מורכבים בצורה גמישה וחדשנית. החשיבה הרגשית מהווה גשר בין הגוף לתפקודים הגבוהים של המוח. מאחר שיש לה תפקיד מפתח בניהול מצבים מורכבים, היא מסמנת אותם כחיוביים או שלילים מההיבט הרגשי. </w:t>
      </w:r>
    </w:p>
    <w:p w:rsidR="005F5243" w:rsidRDefault="005F5243" w:rsidP="005F5243">
      <w:pPr>
        <w:rPr>
          <w:rtl/>
        </w:rPr>
      </w:pPr>
    </w:p>
    <w:p w:rsidR="005F5243" w:rsidRDefault="005F5243" w:rsidP="005F5243">
      <w:pPr>
        <w:rPr>
          <w:rtl/>
        </w:rPr>
      </w:pPr>
      <w:r>
        <w:rPr>
          <w:rFonts w:hint="cs"/>
          <w:rtl/>
        </w:rPr>
        <w:t>קל לראות את הרלוונטיות של תפישת החשיבה הרגשית בעבור התחום של חינוך לאמנות, ויש לציין את ההקבלה בין תפישת החשיבה הרגשית לבין הפליאה כחלק אינטגרלי של החוויה האסתטית ("התחושה האינטלקטואלית", לפי דיואי), המעוררת רגשות ומחשבות ביניהן ההחלטה לחקור את משמעותה של יצירת האמנות. ניתן לראות את הפליאה האסתטית כמחשבה רגשית. תפישה זו משמעותית מאוד בעבור החינוך האסתטי משום שהיא מעניקה את הביסוס האמפירי  לערך החינוכי שיש לחוויה האסתטית ולחשיבות של חשיפת תלמידים ליצירות אמנות.</w:t>
      </w:r>
    </w:p>
    <w:p w:rsidR="005F5243" w:rsidRDefault="005F5243" w:rsidP="005F5243">
      <w:pPr>
        <w:rPr>
          <w:rtl/>
        </w:rPr>
      </w:pPr>
    </w:p>
    <w:p w:rsidR="00DD65D0" w:rsidRDefault="005F5243" w:rsidP="005F5243">
      <w:r>
        <w:rPr>
          <w:rFonts w:hint="cs"/>
          <w:rtl/>
        </w:rPr>
        <w:t xml:space="preserve">דוגמה לחשיבותם של החוויה האסתטית והמחקר האסתטי בהקשר החינוכי ועבור הקוריקולום הפוסט-מודרני, ניתן  למצוא במחקרו של פטריק </w:t>
      </w:r>
      <w:proofErr w:type="spellStart"/>
      <w:r>
        <w:rPr>
          <w:rFonts w:hint="cs"/>
          <w:rtl/>
        </w:rPr>
        <w:t>סלטרי</w:t>
      </w:r>
      <w:proofErr w:type="spellEnd"/>
      <w:r>
        <w:rPr>
          <w:rFonts w:hint="cs"/>
          <w:rtl/>
        </w:rPr>
        <w:t xml:space="preserve"> </w:t>
      </w:r>
      <w:r>
        <w:t>(Patrick Slattery)</w:t>
      </w:r>
      <w:r>
        <w:rPr>
          <w:rFonts w:hint="cs"/>
          <w:rtl/>
        </w:rPr>
        <w:t xml:space="preserve">. </w:t>
      </w:r>
      <w:proofErr w:type="spellStart"/>
      <w:r>
        <w:rPr>
          <w:rFonts w:hint="cs"/>
          <w:rtl/>
        </w:rPr>
        <w:t>סלטרי</w:t>
      </w:r>
      <w:proofErr w:type="spellEnd"/>
      <w:r>
        <w:rPr>
          <w:rFonts w:hint="cs"/>
          <w:rtl/>
        </w:rPr>
        <w:t xml:space="preserve"> משתמש בחוויה אסתטית במסגרת פרויקט פנומנולוגי, שבו בעקבות התבוננות ביצירות אמנות מודרנית, מתרחשים אצל הצופים תהליכים של התבוננות עצמית מעמיקה, ובעקבותיה הבנה של הסביבה האישית ופיתוח של אמפתיה כלפי חוויותיהם של אנשים אחרים. </w:t>
      </w:r>
      <w:proofErr w:type="spellStart"/>
      <w:r>
        <w:rPr>
          <w:rFonts w:hint="cs"/>
          <w:rtl/>
        </w:rPr>
        <w:t>סלטרי</w:t>
      </w:r>
      <w:proofErr w:type="spellEnd"/>
      <w:r>
        <w:rPr>
          <w:rFonts w:hint="cs"/>
          <w:rtl/>
        </w:rPr>
        <w:t xml:space="preserve"> אמנם אינו משתמש במונח פליאה, אך תיאורו את הרגש שבחוויה האסתטית תואם למה שנאמר לעיל על אודות הפליאה כמחשבה רגשית</w:t>
      </w:r>
      <w:r w:rsidRPr="0022597E">
        <w:rPr>
          <w:rFonts w:hint="cs"/>
          <w:rtl/>
        </w:rPr>
        <w:t xml:space="preserve">. </w:t>
      </w:r>
      <w:r w:rsidRPr="001E4E1A">
        <w:rPr>
          <w:rFonts w:hint="cs"/>
          <w:rtl/>
        </w:rPr>
        <w:t>כך</w:t>
      </w:r>
      <w:r w:rsidRPr="001E4E1A">
        <w:rPr>
          <w:rtl/>
        </w:rPr>
        <w:t xml:space="preserve"> </w:t>
      </w:r>
      <w:r w:rsidRPr="001E4E1A">
        <w:rPr>
          <w:rFonts w:hint="cs"/>
          <w:rtl/>
        </w:rPr>
        <w:t>למשל</w:t>
      </w:r>
      <w:r w:rsidRPr="001E4E1A">
        <w:rPr>
          <w:rtl/>
        </w:rPr>
        <w:t xml:space="preserve">, </w:t>
      </w:r>
      <w:r w:rsidRPr="001E4E1A">
        <w:rPr>
          <w:rFonts w:hint="cs"/>
          <w:rtl/>
        </w:rPr>
        <w:t>כדוגמה</w:t>
      </w:r>
      <w:r w:rsidRPr="001E4E1A">
        <w:rPr>
          <w:rtl/>
        </w:rPr>
        <w:t xml:space="preserve"> </w:t>
      </w:r>
      <w:r w:rsidRPr="001E4E1A">
        <w:rPr>
          <w:rFonts w:hint="cs"/>
          <w:rtl/>
        </w:rPr>
        <w:t>לתגובה</w:t>
      </w:r>
      <w:r w:rsidRPr="001E4E1A">
        <w:rPr>
          <w:rtl/>
        </w:rPr>
        <w:t xml:space="preserve"> </w:t>
      </w:r>
      <w:r w:rsidRPr="001E4E1A">
        <w:rPr>
          <w:rFonts w:hint="cs"/>
          <w:rtl/>
        </w:rPr>
        <w:t>רגשית</w:t>
      </w:r>
      <w:r w:rsidRPr="001E4E1A">
        <w:rPr>
          <w:rtl/>
        </w:rPr>
        <w:t>-</w:t>
      </w:r>
      <w:r w:rsidRPr="001E4E1A">
        <w:rPr>
          <w:rFonts w:hint="cs"/>
          <w:rtl/>
        </w:rPr>
        <w:t>שכלית</w:t>
      </w:r>
      <w:r w:rsidRPr="001E4E1A">
        <w:rPr>
          <w:rtl/>
        </w:rPr>
        <w:t xml:space="preserve"> </w:t>
      </w:r>
      <w:r w:rsidRPr="001E4E1A">
        <w:rPr>
          <w:rFonts w:hint="cs"/>
          <w:rtl/>
        </w:rPr>
        <w:t>לעבודה</w:t>
      </w:r>
      <w:r w:rsidRPr="001E4E1A">
        <w:rPr>
          <w:rtl/>
        </w:rPr>
        <w:t xml:space="preserve"> </w:t>
      </w:r>
      <w:r w:rsidRPr="001E4E1A">
        <w:rPr>
          <w:rFonts w:hint="cs"/>
          <w:rtl/>
        </w:rPr>
        <w:t>של</w:t>
      </w:r>
      <w:r w:rsidRPr="001E4E1A">
        <w:rPr>
          <w:rtl/>
        </w:rPr>
        <w:t xml:space="preserve"> </w:t>
      </w:r>
      <w:r w:rsidRPr="001E4E1A">
        <w:rPr>
          <w:rFonts w:hint="cs"/>
          <w:rtl/>
        </w:rPr>
        <w:t>ג</w:t>
      </w:r>
      <w:r w:rsidRPr="001E4E1A">
        <w:rPr>
          <w:rtl/>
        </w:rPr>
        <w:t>'</w:t>
      </w:r>
      <w:r w:rsidRPr="001E4E1A">
        <w:rPr>
          <w:rFonts w:hint="cs"/>
          <w:rtl/>
        </w:rPr>
        <w:t>קסון</w:t>
      </w:r>
      <w:r w:rsidRPr="001E4E1A">
        <w:rPr>
          <w:rtl/>
        </w:rPr>
        <w:t xml:space="preserve"> </w:t>
      </w:r>
      <w:proofErr w:type="spellStart"/>
      <w:r w:rsidRPr="001E4E1A">
        <w:rPr>
          <w:rFonts w:hint="cs"/>
          <w:rtl/>
        </w:rPr>
        <w:t>פולוק</w:t>
      </w:r>
      <w:proofErr w:type="spellEnd"/>
      <w:r w:rsidRPr="001E4E1A">
        <w:rPr>
          <w:rtl/>
        </w:rPr>
        <w:t xml:space="preserve">, </w:t>
      </w:r>
      <w:proofErr w:type="spellStart"/>
      <w:r w:rsidRPr="001E4E1A">
        <w:rPr>
          <w:rFonts w:hint="cs"/>
          <w:rtl/>
        </w:rPr>
        <w:t>סלטרי</w:t>
      </w:r>
      <w:proofErr w:type="spellEnd"/>
      <w:r w:rsidRPr="001E4E1A">
        <w:rPr>
          <w:rtl/>
        </w:rPr>
        <w:t xml:space="preserve"> </w:t>
      </w:r>
      <w:r w:rsidRPr="001E4E1A">
        <w:rPr>
          <w:rFonts w:hint="cs"/>
          <w:rtl/>
        </w:rPr>
        <w:t>מראה</w:t>
      </w:r>
      <w:r w:rsidRPr="001E4E1A">
        <w:rPr>
          <w:rtl/>
        </w:rPr>
        <w:t xml:space="preserve"> </w:t>
      </w:r>
      <w:r w:rsidRPr="001E4E1A">
        <w:rPr>
          <w:rFonts w:hint="cs"/>
          <w:rtl/>
        </w:rPr>
        <w:t>מדוע</w:t>
      </w:r>
      <w:r w:rsidRPr="001E4E1A">
        <w:rPr>
          <w:rtl/>
        </w:rPr>
        <w:t xml:space="preserve"> </w:t>
      </w:r>
      <w:r w:rsidRPr="001E4E1A">
        <w:rPr>
          <w:rFonts w:hint="cs"/>
          <w:rtl/>
        </w:rPr>
        <w:t>על</w:t>
      </w:r>
      <w:r w:rsidRPr="001E4E1A">
        <w:rPr>
          <w:rtl/>
        </w:rPr>
        <w:t xml:space="preserve"> </w:t>
      </w:r>
      <w:r w:rsidRPr="001E4E1A">
        <w:rPr>
          <w:rFonts w:hint="cs"/>
          <w:rtl/>
        </w:rPr>
        <w:t>המחקר</w:t>
      </w:r>
      <w:r w:rsidRPr="001E4E1A">
        <w:rPr>
          <w:rtl/>
        </w:rPr>
        <w:t xml:space="preserve"> </w:t>
      </w:r>
      <w:r w:rsidRPr="001E4E1A">
        <w:rPr>
          <w:rFonts w:hint="cs"/>
          <w:rtl/>
        </w:rPr>
        <w:t>האסתטי</w:t>
      </w:r>
      <w:r w:rsidRPr="001E4E1A">
        <w:rPr>
          <w:rtl/>
        </w:rPr>
        <w:t xml:space="preserve"> </w:t>
      </w:r>
      <w:r w:rsidRPr="001E4E1A">
        <w:rPr>
          <w:rFonts w:hint="cs"/>
          <w:rtl/>
        </w:rPr>
        <w:t>האיכותני</w:t>
      </w:r>
      <w:r w:rsidRPr="001E4E1A">
        <w:rPr>
          <w:rtl/>
        </w:rPr>
        <w:t xml:space="preserve"> </w:t>
      </w:r>
      <w:r w:rsidRPr="001E4E1A">
        <w:rPr>
          <w:rFonts w:hint="cs"/>
          <w:rtl/>
        </w:rPr>
        <w:t>והחוויה</w:t>
      </w:r>
      <w:r w:rsidRPr="001E4E1A">
        <w:rPr>
          <w:rtl/>
        </w:rPr>
        <w:t xml:space="preserve"> </w:t>
      </w:r>
      <w:r w:rsidRPr="001E4E1A">
        <w:rPr>
          <w:rFonts w:hint="cs"/>
          <w:rtl/>
        </w:rPr>
        <w:t>האסתטית</w:t>
      </w:r>
      <w:r w:rsidRPr="001E4E1A">
        <w:rPr>
          <w:rtl/>
        </w:rPr>
        <w:t xml:space="preserve"> </w:t>
      </w:r>
      <w:r w:rsidRPr="001E4E1A">
        <w:rPr>
          <w:rFonts w:hint="cs"/>
          <w:rtl/>
        </w:rPr>
        <w:t>לקבל</w:t>
      </w:r>
      <w:r w:rsidRPr="001E4E1A">
        <w:rPr>
          <w:rtl/>
        </w:rPr>
        <w:t xml:space="preserve"> </w:t>
      </w:r>
      <w:r w:rsidRPr="001E4E1A">
        <w:rPr>
          <w:rFonts w:hint="cs"/>
          <w:rtl/>
        </w:rPr>
        <w:t>מקום</w:t>
      </w:r>
      <w:r w:rsidRPr="001E4E1A">
        <w:rPr>
          <w:rtl/>
        </w:rPr>
        <w:t xml:space="preserve"> </w:t>
      </w:r>
      <w:r w:rsidRPr="001E4E1A">
        <w:rPr>
          <w:rFonts w:hint="cs"/>
          <w:rtl/>
        </w:rPr>
        <w:t>מרכזי</w:t>
      </w:r>
      <w:r w:rsidRPr="001E4E1A">
        <w:rPr>
          <w:rtl/>
        </w:rPr>
        <w:t xml:space="preserve"> </w:t>
      </w:r>
      <w:r w:rsidRPr="001E4E1A">
        <w:rPr>
          <w:rFonts w:hint="cs"/>
          <w:rtl/>
        </w:rPr>
        <w:t>בקוריקולום</w:t>
      </w:r>
      <w:r w:rsidRPr="001E4E1A">
        <w:rPr>
          <w:rtl/>
        </w:rPr>
        <w:t xml:space="preserve"> </w:t>
      </w:r>
      <w:r w:rsidRPr="001E4E1A">
        <w:rPr>
          <w:rFonts w:hint="cs"/>
          <w:rtl/>
        </w:rPr>
        <w:t>הפוסט</w:t>
      </w:r>
      <w:r w:rsidRPr="001E4E1A">
        <w:rPr>
          <w:rtl/>
        </w:rPr>
        <w:t>-</w:t>
      </w:r>
      <w:r w:rsidRPr="001E4E1A">
        <w:rPr>
          <w:rFonts w:hint="cs"/>
          <w:rtl/>
        </w:rPr>
        <w:t>מודרני</w:t>
      </w:r>
      <w:r w:rsidRPr="001E4E1A">
        <w:rPr>
          <w:rtl/>
        </w:rPr>
        <w:t>.</w:t>
      </w:r>
      <w:r>
        <w:rPr>
          <w:rFonts w:hint="cs"/>
          <w:rtl/>
        </w:rPr>
        <w:t xml:space="preserve"> נקודת המוצא של הפרויקט הפנומנולוגי היא החוויה האסתטית, המתבססת לא על הידע האובייקטיבי על אודות האמנות, הז'אנר או האמן אלא על הפליאה </w:t>
      </w:r>
      <w:r>
        <w:rPr>
          <w:rtl/>
        </w:rPr>
        <w:t>–</w:t>
      </w:r>
      <w:r>
        <w:rPr>
          <w:rFonts w:hint="cs"/>
          <w:rtl/>
        </w:rPr>
        <w:t xml:space="preserve"> על ההבנה של החוויה האנושית, של המשמעות שבאה לידי ביטוי ביצירת האמנות. היצירה מטרידה ומעוררת את התלמידים, גורמת להם לחשוב, לחקור, לקרוא, להרחיב את חוויית המפגש הראשונית. היא גם עשויה לעורר רצון לצדק וחמלה. הפרויקט החינוכי של </w:t>
      </w:r>
      <w:proofErr w:type="spellStart"/>
      <w:r>
        <w:rPr>
          <w:rFonts w:hint="cs"/>
          <w:rtl/>
        </w:rPr>
        <w:t>סלטרי</w:t>
      </w:r>
      <w:proofErr w:type="spellEnd"/>
      <w:r>
        <w:rPr>
          <w:rFonts w:hint="cs"/>
          <w:rtl/>
        </w:rPr>
        <w:t xml:space="preserve"> מבוסס על הנחות היסוד של הקונסטרוקטיביזם החברתי, לפיהן התהליך שנוצר בעקבות החוויה האסתטית מפתח לא רק את המודעות לאי צדק חברתי אלא גם עשוי לחולל פעולה ממשית. ניתן לומר כי הניסיון החינוכי מאשש את המסקנות התיאורטיות על אודות חשיבותה ושל החוויה האסתטית הן בעבור החינוך לאמנות והן בעבור פיתוחן של מודעות חברתית, הבנה עצמית ואמפתיה.</w:t>
      </w:r>
    </w:p>
    <w:sectPr w:rsidR="00DD65D0"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3"/>
    <w:rsid w:val="005F5243"/>
    <w:rsid w:val="00B63548"/>
    <w:rsid w:val="00DD6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154F8-E52C-4F87-8FFC-1BFE2082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243"/>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4031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2019-05-23T08:49:00Z</dcterms:created>
  <dcterms:modified xsi:type="dcterms:W3CDTF">2019-05-23T08:49:00Z</dcterms:modified>
</cp:coreProperties>
</file>